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47" w:rsidRDefault="00273B47" w:rsidP="00273B47">
      <w:r>
        <w:t>Содержание вступительных испытаний в маг</w:t>
      </w:r>
      <w:r w:rsidR="003A51B2">
        <w:t xml:space="preserve">истратуру по социальной работе </w:t>
      </w:r>
      <w:r>
        <w:t>включает задания по следующим темам: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Основные причины </w:t>
      </w:r>
      <w:proofErr w:type="spellStart"/>
      <w:r>
        <w:t>институциализации</w:t>
      </w:r>
      <w:proofErr w:type="spellEnd"/>
      <w:r>
        <w:t xml:space="preserve"> социальной работы. Этапы ее становления.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Мировоззренческие (религиозные и философские) основания идеологии социальной помощи.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Социальное государство: истоки формирования и основные признаки. Особенности социального государства в современных условиях.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Основные подходы к пониманию смысла и задач социальной работы. Понятие социальной справедливости.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Социальная защита детей в современной России: основные направления. Права ребенка.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Формы социального обслуживания пожилых людей. Особенности социальной работы с ними.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Вклад М. Ричмонд в развитие теории социальной работы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Роль международных организаций в социальной работе: Армия спасения и Красный Крест.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Основные черты американской модели социальной работы. Борьба с бедностью в США.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Особенности германской модели социального обеспечения и социальной работы в современный период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Этапы развития конфликта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Структурные составляющие конфликта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Конфликты в социальной работе с клиентами: причины и способы разрешения.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Концепция «линз гендера» С. </w:t>
      </w:r>
      <w:proofErr w:type="spellStart"/>
      <w:r>
        <w:t>Бем</w:t>
      </w:r>
      <w:proofErr w:type="spellEnd"/>
      <w:r>
        <w:t>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Основные теории маскулинности.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Гендерное разделение в сфере труда и ее объяснение в социальной теории.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Гибкая занятость в условиях современной России: формы и причины её распространения; плюсы и минусы гибкой занятости для наемных работников и для нанимателей.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Сегментация рынка труда в условиях современной России: по уровню квалификации, по профессиональному критерию, по социально-демографическим признакам, по уровню дискриминации.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Основные черты неформальной экономики в России как средства выживания, как </w:t>
      </w:r>
      <w:proofErr w:type="spellStart"/>
      <w:r>
        <w:t>эксполярной</w:t>
      </w:r>
      <w:proofErr w:type="spellEnd"/>
      <w:r>
        <w:t xml:space="preserve"> экономики. Проблема самозанятости в современной России.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Уровень экономического неравенства в России, как фактор замедления развития рынка труда и занятости. </w:t>
      </w:r>
      <w:proofErr w:type="spellStart"/>
      <w:r>
        <w:t>Децильный</w:t>
      </w:r>
      <w:proofErr w:type="spellEnd"/>
      <w:r>
        <w:t xml:space="preserve"> коэффициент, Индекс </w:t>
      </w:r>
      <w:proofErr w:type="spellStart"/>
      <w:r>
        <w:t>Джинни</w:t>
      </w:r>
      <w:proofErr w:type="spellEnd"/>
      <w:r>
        <w:t>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Сегментация рынка труда на уровне фирмы: кадровое ядро и кадровая периферия. Способы формирования социально-профессионального потенциала работника, стремящегося попасть в кадровое ядро.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Этический кодекс социального работника: понятие и значение. Зарубежный и отечественные кодексы социального работника.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Этические дилеммы в социальной работе и принятие этического решения в ситуации дилеммы.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Методы и технологии воспитания и обучения в социальной педагогике.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Методы исследования и диагностики в социальной педагогике.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Методы психолого-педагогической и социальной помощи и реабилитации в социальной педагогике.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Технологии социальной терапии, основанные на преобразующих ситуациях.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lastRenderedPageBreak/>
        <w:t>Социально-педагогическая работа в системе образования: задачи и направления работы социального педагога в образовательных организациях различных уровней.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Содержание деятельности и проблемы в работе органов опеки и попечительства и комиссии по делам несовершеннолетних в современной России.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Социально-педагогическая работа в учреждениях системы здравоохранения и социальной защиты населения: функции социального педагога, направления работы.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Понятие и классификация семей группы риска.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Ненадлежащее обращение с ребенком как ключевая проблема семей группы риска.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Технология раннего выявления семей группы риска и работы со случаем.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Социальное прогнозирование и предвидение в социальной сфере.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Социальное проектирование в современном обществе.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Социальные инновации как процесс.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Причины существования бездомности и ее социальный состав. Бездомность как социальная проблема.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Социальное обеспечение в постсоветской России: преемственность и инновации.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Образование Российской Империи и роль государства в сфере социальных отношений (XVIII век). Модернизация управления государственным призрением.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Система призрения в России в XIX веке: основные субъекты.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Социальная политика большевиков в первые годы советской власти. Создание системы социального обеспечения.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Девиантное поведение: понятие, причины, основные формы, социальные риски и последствия.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Тест как основной инструмент психодиагностики. Основные характеристики тестов (понятие стандартизации теста, тестовые нормы, </w:t>
      </w:r>
      <w:proofErr w:type="spellStart"/>
      <w:r>
        <w:t>валидность</w:t>
      </w:r>
      <w:proofErr w:type="spellEnd"/>
      <w:r>
        <w:t>, надежность тестов).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Общая характеристика проективных методик. Возможности и ограничения применения проективных методик для психодиагностики личностных особенностей.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Социально-психологические проблемы психодиагностического обследования.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Профессионально-этические стандарты психодиагностического обследования.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Консультирование как метод практической социальной работы.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Трансформация семьи как социального института: основные факторы и закономерности.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Нормативные основы добровольчества в России.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Направления, формы и виды добровольческой деятельности в России.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Конституционные нормы, составляющие базу правового обеспечения социальной работы.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Характеристика Европейской социальной хартии как источника правового обеспечения социальной работы.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Правовые основы охраны материнства и детства: современность и перспективы.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Социальная политика: цели, структура, субъекты. Основные принципы и функции социальной политики.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Пенсионное обеспечение в современной России: состояние, причины, цели и результаты реформ пенсионной системы в России.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Социальная политика государства в области социально-трудовых отношений.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Трансформация системы социального обслуживания населения в современной России: переход к реализации нового закона о социальном обслуживании населения. Перспективы создания рынка социальных услуг.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Проблема бедности в современной России: характеристика ситуации, деятельность государственных институтов и негосударственных субъектов по ее преодолению.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lastRenderedPageBreak/>
        <w:t>Роль НКО в социальной политике и социальной поддержке населения в современной России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Бизнес как субъект социальной политики в России. Формы реализации социальной роли бизнеса: корпоративная социальная ответственност</w:t>
      </w:r>
      <w:r w:rsidR="003A51B2">
        <w:t xml:space="preserve">ь, благотворительная политика, </w:t>
      </w:r>
      <w:r>
        <w:t>социальное предпринимательство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Социальная политика в области поддержки семьи и детства: формирование новых приоритетов.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 xml:space="preserve">Концепция государственной семейной политики в Российской Федерации на период до 2025 года и Десятилетие детства в России 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Семейно-ориентированный подход как основа формирования и развития системы жизнеустройства детей-сирот и детей, оставшихся без попечения родителей.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Типы жизнеустройства детей-сирот и детей, оставшихся без попечения родителей. Семейные формы как приоритет государственной</w:t>
      </w:r>
      <w:r w:rsidR="003A51B2">
        <w:t xml:space="preserve"> политики в области защиты прав</w:t>
      </w:r>
      <w:r>
        <w:t xml:space="preserve"> и интересов детей-сирот и детей, оставшихся без попечения родителей.</w:t>
      </w:r>
    </w:p>
    <w:p w:rsidR="00273B47" w:rsidRDefault="00273B47" w:rsidP="003A51B2">
      <w:pPr>
        <w:pStyle w:val="a3"/>
        <w:numPr>
          <w:ilvl w:val="0"/>
          <w:numId w:val="1"/>
        </w:numPr>
      </w:pPr>
      <w:r>
        <w:t>Этапы устройства ребенка в семью, правовое и психолого-педагогическое сопровождение процесса создания замещающей семьи.</w:t>
      </w:r>
    </w:p>
    <w:p w:rsidR="00B70CD6" w:rsidRDefault="00273B47" w:rsidP="003A51B2">
      <w:pPr>
        <w:pStyle w:val="a3"/>
        <w:numPr>
          <w:ilvl w:val="0"/>
          <w:numId w:val="1"/>
        </w:numPr>
      </w:pPr>
      <w:r>
        <w:t>Проблемы замещающих семей и возможности их разрешения в современной Росси</w:t>
      </w:r>
      <w:bookmarkStart w:id="0" w:name="_GoBack"/>
      <w:bookmarkEnd w:id="0"/>
      <w:r>
        <w:t>и.</w:t>
      </w:r>
    </w:p>
    <w:sectPr w:rsidR="00B7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E36"/>
    <w:multiLevelType w:val="hybridMultilevel"/>
    <w:tmpl w:val="4F34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47"/>
    <w:rsid w:val="00273B47"/>
    <w:rsid w:val="003A51B2"/>
    <w:rsid w:val="00B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756B1-6F9D-4622-BCB9-774D7218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ФсФ - Катерина А. Аверина</dc:creator>
  <cp:lastModifiedBy>ФсФ - Анастасия Жукова</cp:lastModifiedBy>
  <cp:revision>4</cp:revision>
  <dcterms:created xsi:type="dcterms:W3CDTF">2021-07-02T09:31:00Z</dcterms:created>
  <dcterms:modified xsi:type="dcterms:W3CDTF">2021-07-02T09:43:00Z</dcterms:modified>
</cp:coreProperties>
</file>